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B82E19" w:rsidP="00B82E19" w:rsidR="00B82E19">
      <w:pPr>
        <w:pStyle w:val="Heading2"/>
        <w:numPr>
          <w:ilvl w:val="0"/>
          <w:numId w:val="0"/>
        </w:numPr>
      </w:pPr>
      <w:bookmarkStart w:name="_Toc147905058_1" w:id="100001"/>
      <w:bookmarkStart w:name="nxmlformatsorgdrawingml2006spreadsheetDr_1" w:id="100002"/>
      <w:bookmarkEnd w:id="100003"/>
      <w:r>
        <w:t>DrawingML - SpreadsheetML Drawing</w:t>
      </w:r>
      <w:bookmarkEnd w:id="100001"/>
    </w:p>
    <w:bookmarkEnd w:id="100002"/>
    <w:p w:rsidRDefault="00B82E19" w:rsidP="00B82E19" w:rsidR="00B82E19">
      <w:r>
        <w:t>Within a SpreadsheetML document, it is possible to include graphical DrawingML objects:</w:t>
      </w:r>
    </w:p>
    <w:p w:rsidRDefault="00B82E19" w:rsidP="00B82E19" w:rsidR="00B82E19">
      <w:pPr>
        <w:pStyle w:val="ListBullet"/>
        <w:numPr>
          <w:ilvl w:val="0"/>
          <w:numId w:val="66"/>
        </w:numPr>
      </w:pPr>
      <w:r>
        <w:t>Pictures (§</w:t>
      </w:r>
      <w:fldSimple w:instr=" REF nxmlformatsorgdrawingml2006picture \w \h ">
        <w:r>
          <w:t>5.2</w:t>
        </w:r>
      </w:fldSimple>
      <w:r>
        <w:t>)</w:t>
      </w:r>
    </w:p>
    <w:p w:rsidRDefault="00B82E19" w:rsidP="00B82E19" w:rsidR="00B82E19">
      <w:pPr>
        <w:pStyle w:val="ListBullet"/>
      </w:pPr>
      <w:r>
        <w:t>Locked Canvases (§</w:t>
      </w:r>
      <w:fldSimple w:instr=" REF nxmlformatsorgdrawingml2006lockedcanvas \w \h ">
        <w:r>
          <w:t>5.4</w:t>
        </w:r>
      </w:fldSimple>
      <w:r>
        <w:t>)</w:t>
      </w:r>
    </w:p>
    <w:p w:rsidRDefault="00B82E19" w:rsidP="00B82E19" w:rsidR="00B82E19">
      <w:pPr>
        <w:pStyle w:val="ListBullet"/>
      </w:pPr>
      <w:r>
        <w:t>Diagrams (§</w:t>
      </w:r>
      <w:fldSimple w:instr=" REF nxmlformatsorgdrawingml2006diagram \w \h ">
        <w:r>
          <w:t>5.9</w:t>
        </w:r>
      </w:fldSimple>
      <w:r>
        <w:t>)</w:t>
      </w:r>
    </w:p>
    <w:p w:rsidRDefault="00B82E19" w:rsidP="00B82E19" w:rsidR="00B82E19">
      <w:pPr>
        <w:pStyle w:val="ListBullet"/>
      </w:pPr>
      <w:r>
        <w:t>Charts (§</w:t>
      </w:r>
      <w:fldSimple w:instr=" REF nxmlformatsorgdrawingml2006chart \w \h ">
        <w:r>
          <w:t>5.7</w:t>
        </w:r>
      </w:fldSimple>
      <w:r>
        <w:t>)</w:t>
      </w:r>
    </w:p>
    <w:p w:rsidRDefault="00B82E19" w:rsidP="00B82E19" w:rsidR="00B82E19">
      <w:r>
        <w:t>When these objects are present in a spreadsheet document, it is necessary to include information which specifies how the objects shall be positioned relative to the parent worksheet. [</w:t>
      </w:r>
      <w:r>
        <w:t>Example</w:t>
      </w:r>
      <w:r>
        <w:t xml:space="preserve">: Whether the object is anchored to a specific </w:t>
      </w:r>
      <w:hyperlink r:id="rId8">
        <w:r>
          <w:rPr>
            <w:rStyle w:val="Hyperlink"/>
          </w:rPr>
          <w:t>row</w:t>
        </w:r>
      </w:hyperlink>
      <w:r>
        <w:t xml:space="preserve">, whether it resizes with cells, and so on. </w:t>
      </w:r>
      <w:r>
        <w:t/>
      </w:r>
      <w:hyperlink r:id="rId9">
        <w:r>
          <w:rPr>
            <w:rStyle w:val="Hyperlink"/>
          </w:rPr>
          <w:t>end</w:t>
        </w:r>
      </w:hyperlink>
      <w:r>
        <w:t xml:space="preserve"> example</w:t>
      </w:r>
      <w:r>
        <w:t>]</w:t>
      </w:r>
    </w:p>
    <w:p w:rsidRDefault="00B82E19" w:rsidP="00B82E19" w:rsidR="00B82E19">
      <w:r>
        <w:t>The SpreadsheetML Drawing namespace acts in this capacity, specifying all information necessary to anchor and display DrawingML objects within a spreadsheet document.</w:t>
      </w:r>
    </w:p>
    <w:p w:rsidRDefault="00B82E19" w:rsidP="00B82E19" w:rsidR="00B82E19">
      <w:r>
        <w:t>[</w:t>
      </w:r>
      <w:r>
        <w:t>Example</w:t>
      </w:r>
      <w:r>
        <w:t>: Consider a DrawingML picture which shall be anchored to a specific cell for its top left and bottom right corners, resizing as those cells are relocated. This object would be specified as follows:</w:t>
      </w:r>
    </w:p>
    <w:p w:rsidRDefault="00B82E19" w:rsidP="00B82E19" w:rsidR="00B82E19">
      <w:pPr>
        <w:pStyle w:val="c"/>
      </w:pPr>
      <w:r>
        <w:t>&lt;xdr:twoCellAnchor&gt;</w:t>
      </w:r>
      <w:r>
        <w:br/>
      </w:r>
      <w:r>
        <w:t xml:space="preserve">  </w:t>
      </w:r>
      <w:r>
        <w:t>&lt;xdr:from&gt;</w:t>
      </w:r>
      <w:r>
        <w:br/>
      </w:r>
      <w:r>
        <w:t xml:space="preserve">   </w:t>
      </w:r>
      <w:r>
        <w:t xml:space="preserve"> </w:t>
      </w:r>
      <w:r>
        <w:t>...</w:t>
      </w:r>
      <w:r>
        <w:br/>
      </w:r>
      <w:r>
        <w:t xml:space="preserve">  </w:t>
      </w:r>
      <w:r>
        <w:t>&lt;/xdr:from&gt;</w:t>
      </w:r>
      <w:r>
        <w:br/>
      </w:r>
      <w:r>
        <w:t xml:space="preserve"> </w:t>
      </w:r>
      <w:r>
        <w:t xml:space="preserve"> &lt;xdr:to&gt;</w:t>
      </w:r>
      <w:r>
        <w:br/>
      </w:r>
      <w:r>
        <w:t xml:space="preserve">    ...</w:t>
      </w:r>
    </w:p>
    <w:p w:rsidRDefault="00B82E19" w:rsidP="00B82E19" w:rsidR="00B82E19">
      <w:pPr>
        <w:pStyle w:val="c"/>
        <w:rPr>
          <w:lang w:eastAsia="en-US" w:val="en-US"/>
        </w:rPr>
      </w:pPr>
      <w:r>
        <w:t xml:space="preserve"> </w:t>
      </w:r>
      <w:r>
        <w:t xml:space="preserve"> &lt;/xdr:to&gt;</w:t>
      </w:r>
    </w:p>
    <w:p w:rsidRDefault="00B82E19" w:rsidP="00B82E19" w:rsidR="00B82E19">
      <w:pPr>
        <w:pStyle w:val="c"/>
        <w:rPr>
          <w:lang w:eastAsia="en-US" w:val="en-US"/>
        </w:rPr>
      </w:pPr>
      <w:r>
        <w:t xml:space="preserve">  </w:t>
      </w:r>
      <w:r>
        <w:t>&lt;xdr:graphicFrame&gt;</w:t>
      </w:r>
      <w:r>
        <w:br/>
      </w:r>
      <w:r>
        <w:t xml:space="preserve">   </w:t>
      </w:r>
      <w:r>
        <w:t xml:space="preserve"> </w:t>
      </w:r>
      <w:r>
        <w:t>...</w:t>
      </w:r>
      <w:r>
        <w:br/>
      </w:r>
      <w:r>
        <w:t xml:space="preserve">   </w:t>
      </w:r>
      <w:r>
        <w:t xml:space="preserve"> &lt;a:graphic&gt;</w:t>
      </w:r>
    </w:p>
    <w:p w:rsidRDefault="00B82E19" w:rsidP="00B82E19" w:rsidR="00B82E19">
      <w:pPr>
        <w:pStyle w:val="c"/>
        <w:rPr>
          <w:lang w:eastAsia="en-US" w:val="en-US"/>
        </w:rPr>
      </w:pPr>
      <w:r>
        <w:t xml:space="preserve">  </w:t>
      </w:r>
      <w:r>
        <w:t xml:space="preserve"> </w:t>
      </w:r>
      <w:r>
        <w:t xml:space="preserve">   </w:t>
      </w:r>
      <w:r>
        <w:t xml:space="preserve">&lt;a:graphicData </w:t>
      </w:r>
      <w:r>
        <w:br/>
      </w:r>
      <w:r>
        <w:t xml:space="preserve">         </w:t>
      </w:r>
      <w:r>
        <w:t>uri="http://schemas.openxmlformats.org/drawingml/2006/diagram"&gt;</w:t>
      </w:r>
      <w:r>
        <w:br/>
      </w:r>
      <w:r>
        <w:t xml:space="preserve"> </w:t>
      </w:r>
      <w:r>
        <w:t xml:space="preserve"> </w:t>
      </w:r>
      <w:r>
        <w:t xml:space="preserve">      </w:t>
      </w:r>
      <w:r>
        <w:t>&lt;dgm:relIds xmlns:dgm="</w:t>
      </w:r>
      <w:r>
        <w:t>...</w:t>
      </w:r>
      <w:r>
        <w:t>" xmlns:r="</w:t>
      </w:r>
      <w:r>
        <w:t>...</w:t>
      </w:r>
      <w:r>
        <w:t xml:space="preserve">" r:dm="rId1" r:lo="rId2" </w:t>
      </w:r>
      <w:r>
        <w:br/>
      </w:r>
      <w:r>
        <w:t xml:space="preserve">           </w:t>
      </w:r>
      <w:r>
        <w:t xml:space="preserve">r:qs="rId3" r:cs="rId4" /&gt; </w:t>
      </w:r>
      <w:r>
        <w:br/>
      </w:r>
      <w:r>
        <w:t xml:space="preserve">      </w:t>
      </w:r>
      <w:r>
        <w:t>&lt;/a:graphicData&gt;</w:t>
      </w:r>
      <w:r>
        <w:br/>
      </w:r>
      <w:r>
        <w:t xml:space="preserve">    </w:t>
      </w:r>
      <w:r>
        <w:t>&lt;/a:graphic&gt;</w:t>
      </w:r>
      <w:r>
        <w:br/>
      </w:r>
      <w:r>
        <w:t xml:space="preserve">  </w:t>
      </w:r>
      <w:r>
        <w:t>&lt;/xdr:graphicFrame&gt;</w:t>
      </w:r>
      <w:r>
        <w:br/>
      </w:r>
      <w:r>
        <w:t>&lt;/xdr:twoCellAnchor&gt;</w:t>
      </w:r>
    </w:p>
    <w:p w:rsidRDefault="00B82E19" w:rsidP="00B82E19" w:rsidR="00B82E19">
      <w:r>
        <w:t xml:space="preserve">The </w:t>
      </w:r>
      <w:r>
        <w:t/>
      </w:r>
      <w:hyperlink r:id="rId10">
        <w:r>
          <w:rPr>
            <w:rStyle w:val="Hyperlink"/>
          </w:rPr>
          <w:t>twoCellAnchor</w:t>
        </w:r>
      </w:hyperlink>
      <w:r>
        <w:t/>
      </w:r>
      <w:r>
        <w:t xml:space="preserve"> element (§</w:t>
      </w:r>
      <w:fldSimple w:instr="REF booke3eb96a2-e4a2-4d99-a152-6211e4e9148f \r \h">
        <w:r>
          <w:t>5.6.2.32</w:t>
        </w:r>
      </w:fldSimple>
      <w:r>
        <w:t xml:space="preserve">) specifies that this object anchored to the cells specified by the </w:t>
      </w:r>
      <w:r>
        <w:t>to</w:t>
      </w:r>
      <w:r>
        <w:t xml:space="preserve"> (§</w:t>
      </w:r>
      <w:fldSimple w:instr="REF book6937870f-3784-4f60-a4b2-f9ed1690b0f0 \r \h">
        <w:r>
          <w:t>5.6.2.31</w:t>
        </w:r>
      </w:fldSimple>
      <w:r>
        <w:t xml:space="preserve">) and </w:t>
      </w:r>
      <w:r>
        <w:t>from</w:t>
      </w:r>
      <w:r>
        <w:t xml:space="preserve"> (§</w:t>
      </w:r>
      <w:fldSimple w:instr="REF bookd0ad73af-3882-4574-8465-07d050241b54 \r \h">
        <w:r>
          <w:t>5.6.2.14</w:t>
        </w:r>
      </w:fldSimple>
      <w:r>
        <w:t xml:space="preserve">) elements. </w:t>
      </w:r>
      <w:r>
        <w:t/>
      </w:r>
      <w:hyperlink r:id="rId9">
        <w:r>
          <w:rPr>
            <w:rStyle w:val="Hyperlink"/>
          </w:rPr>
          <w:t>end</w:t>
        </w:r>
      </w:hyperlink>
      <w:r>
        <w:t xml:space="preserve"> example</w:t>
      </w:r>
      <w:r>
        <w:t>]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row.docx" TargetMode="External"/><Relationship Id="rId9" Type="http://schemas.openxmlformats.org/officeDocument/2006/relationships/hyperlink" Target="end.docx" TargetMode="External"/><Relationship Id="rId10" Type="http://schemas.openxmlformats.org/officeDocument/2006/relationships/hyperlink" Target="twoCellAnchor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